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6A" w:rsidRPr="0030066A" w:rsidRDefault="0030066A" w:rsidP="0030066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L 11  </w:t>
      </w:r>
      <w:r w:rsidRPr="0030066A">
        <w:rPr>
          <w:rFonts w:ascii="Arial" w:hAnsi="Arial" w:cs="Arial"/>
          <w:sz w:val="28"/>
          <w:szCs w:val="28"/>
        </w:rPr>
        <w:t>Papillon agrandi du « Cherchons »</w:t>
      </w:r>
    </w:p>
    <w:bookmarkEnd w:id="0"/>
    <w:p w:rsidR="00BC4CDC" w:rsidRPr="0030066A" w:rsidRDefault="0030066A" w:rsidP="0030066A">
      <w:pPr>
        <w:jc w:val="center"/>
        <w:rPr>
          <w:rFonts w:ascii="Arial" w:hAnsi="Arial" w:cs="Arial"/>
          <w:sz w:val="28"/>
          <w:szCs w:val="28"/>
        </w:rPr>
      </w:pPr>
      <w:r w:rsidRPr="0030066A">
        <w:rPr>
          <w:rFonts w:ascii="Arial" w:hAnsi="Arial" w:cs="Arial"/>
          <w:sz w:val="28"/>
          <w:szCs w:val="28"/>
        </w:rPr>
        <w:t>(Reconnaitre et tracer des axes de symétrie)</w:t>
      </w:r>
    </w:p>
    <w:p w:rsidR="0030066A" w:rsidRPr="0030066A" w:rsidRDefault="0030066A">
      <w:pPr>
        <w:rPr>
          <w:rFonts w:ascii="Arial" w:hAnsi="Arial" w:cs="Arial"/>
          <w:sz w:val="28"/>
          <w:szCs w:val="28"/>
        </w:rPr>
      </w:pPr>
    </w:p>
    <w:p w:rsidR="0030066A" w:rsidRPr="0030066A" w:rsidRDefault="0030066A" w:rsidP="0030066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10DFD62" wp14:editId="0DB379E0">
            <wp:extent cx="6429393" cy="7292013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93" cy="729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66A" w:rsidRPr="0030066A" w:rsidSect="0030066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6A"/>
    <w:rsid w:val="000D0162"/>
    <w:rsid w:val="002C5DDA"/>
    <w:rsid w:val="0030066A"/>
    <w:rsid w:val="003D2E30"/>
    <w:rsid w:val="009F3F91"/>
    <w:rsid w:val="00A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FBB51-7D53-4FD1-BDD9-B05FFF36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2020-06-06T06:45:00Z</dcterms:created>
  <dcterms:modified xsi:type="dcterms:W3CDTF">2020-06-06T06:45:00Z</dcterms:modified>
</cp:coreProperties>
</file>