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CDC" w:rsidRDefault="00A12A8D" w:rsidP="00A12A8D">
      <w:pPr>
        <w:jc w:val="center"/>
      </w:pPr>
      <w:r w:rsidRPr="00580D59">
        <w:rPr>
          <w:rFonts w:ascii="Arial" w:hAnsi="Arial" w:cs="Arial"/>
          <w:b/>
          <w:sz w:val="24"/>
          <w:szCs w:val="24"/>
        </w:rPr>
        <w:t>L</w:t>
      </w:r>
      <w:r>
        <w:rPr>
          <w:rFonts w:ascii="Arial" w:hAnsi="Arial" w:cs="Arial"/>
          <w:b/>
          <w:sz w:val="24"/>
          <w:szCs w:val="24"/>
        </w:rPr>
        <w:t>7</w:t>
      </w:r>
      <w:r w:rsidRPr="00580D59">
        <w:rPr>
          <w:rFonts w:ascii="Arial" w:hAnsi="Arial" w:cs="Arial"/>
          <w:b/>
          <w:sz w:val="24"/>
          <w:szCs w:val="24"/>
        </w:rPr>
        <w:t xml:space="preserve"> </w:t>
      </w:r>
      <w:r w:rsidRPr="002C3DD7">
        <w:rPr>
          <w:rFonts w:ascii="Arial" w:hAnsi="Arial" w:cs="Arial"/>
          <w:b/>
          <w:sz w:val="24"/>
          <w:szCs w:val="24"/>
        </w:rPr>
        <w:t>Reconnaitre, décrire et nommer le triangle et ses cas particuliers</w:t>
      </w:r>
    </w:p>
    <w:p w:rsidR="00A12A8D" w:rsidRDefault="00A12A8D" w:rsidP="00A12A8D">
      <w:pPr>
        <w:jc w:val="center"/>
        <w:rPr>
          <w:noProof/>
          <w:lang w:eastAsia="fr-FR"/>
        </w:rPr>
      </w:pPr>
      <w:r>
        <w:rPr>
          <w:rFonts w:ascii="Arial" w:hAnsi="Arial" w:cs="Arial"/>
          <w:sz w:val="32"/>
          <w:szCs w:val="32"/>
        </w:rPr>
        <w:t xml:space="preserve"> </w:t>
      </w:r>
      <w:bookmarkStart w:id="0" w:name="_GoBack"/>
      <w:r w:rsidRPr="00A12A8D">
        <w:rPr>
          <w:rFonts w:ascii="Arial" w:hAnsi="Arial" w:cs="Arial"/>
          <w:sz w:val="32"/>
          <w:szCs w:val="32"/>
        </w:rPr>
        <w:t>Dominos de triangles</w:t>
      </w:r>
      <w:r>
        <w:rPr>
          <w:noProof/>
          <w:lang w:eastAsia="fr-FR"/>
        </w:rPr>
        <w:t xml:space="preserve"> </w:t>
      </w:r>
      <w:bookmarkEnd w:id="0"/>
    </w:p>
    <w:p w:rsidR="00A12A8D" w:rsidRPr="00A12A8D" w:rsidRDefault="00A12A8D" w:rsidP="00A12A8D">
      <w:pPr>
        <w:rPr>
          <w:rFonts w:ascii="Arial" w:hAnsi="Arial" w:cs="Arial"/>
          <w:noProof/>
          <w:sz w:val="24"/>
          <w:szCs w:val="24"/>
          <w:lang w:eastAsia="fr-FR"/>
        </w:rPr>
      </w:pPr>
      <w:r w:rsidRPr="00A12A8D">
        <w:rPr>
          <w:rFonts w:ascii="Arial" w:hAnsi="Arial" w:cs="Arial"/>
          <w:noProof/>
          <w:sz w:val="24"/>
          <w:szCs w:val="24"/>
          <w:lang w:eastAsia="fr-FR"/>
        </w:rPr>
        <w:t>Découper les dominos sur le trait épais ( 20 dominos ). Pour jouer il faut composer des paires de triangles de la même catégorie.</w:t>
      </w:r>
    </w:p>
    <w:p w:rsidR="00A12A8D" w:rsidRDefault="00A12A8D" w:rsidP="00A12A8D">
      <w:pPr>
        <w:jc w:val="center"/>
      </w:pPr>
      <w:r>
        <w:rPr>
          <w:noProof/>
          <w:lang w:eastAsia="fr-FR"/>
        </w:rPr>
        <w:drawing>
          <wp:inline distT="0" distB="0" distL="0" distR="0" wp14:anchorId="3F530030" wp14:editId="2103A54F">
            <wp:extent cx="6840220" cy="876363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8763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12A8D" w:rsidSect="00A12A8D">
      <w:pgSz w:w="11906" w:h="16838"/>
      <w:pgMar w:top="284" w:right="56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A8D"/>
    <w:rsid w:val="000D0162"/>
    <w:rsid w:val="00100E7F"/>
    <w:rsid w:val="002C5DDA"/>
    <w:rsid w:val="003D2E30"/>
    <w:rsid w:val="00A12A8D"/>
    <w:rsid w:val="00A3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B5FCFF-05A9-42E7-A79B-9661A8803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CE1-1 JNS</dc:creator>
  <cp:keywords/>
  <dc:description/>
  <cp:lastModifiedBy>CE1-1 JNS</cp:lastModifiedBy>
  <cp:revision>2</cp:revision>
  <dcterms:created xsi:type="dcterms:W3CDTF">2020-03-23T13:22:00Z</dcterms:created>
  <dcterms:modified xsi:type="dcterms:W3CDTF">2020-03-23T13:22:00Z</dcterms:modified>
</cp:coreProperties>
</file>